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012C04" w:rsidRPr="00633306" w:rsidTr="00605D4E">
        <w:trPr>
          <w:trHeight w:val="336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012C04" w:rsidRPr="00633306" w:rsidTr="00605D4E">
        <w:trPr>
          <w:trHeight w:val="336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012C04" w:rsidRPr="00633306" w:rsidTr="00605D4E">
        <w:trPr>
          <w:trHeight w:val="45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012C04" w:rsidRPr="00633306" w:rsidTr="00605D4E">
        <w:trPr>
          <w:trHeight w:val="582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 w:rsidRPr="00633306">
                <w:rPr>
                  <w:rStyle w:val="a3"/>
                  <w:bCs/>
                  <w:sz w:val="20"/>
                  <w:szCs w:val="20"/>
                </w:rPr>
                <w:t>www.roseltorg.ru</w:t>
              </w:r>
            </w:hyperlink>
          </w:p>
        </w:tc>
      </w:tr>
      <w:tr w:rsidR="00012C04" w:rsidRPr="00633306" w:rsidTr="00605D4E">
        <w:trPr>
          <w:trHeight w:val="582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012C04" w:rsidRPr="00633306" w:rsidTr="00605D4E">
        <w:trPr>
          <w:trHeight w:val="582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  <w:p w:rsidR="00012C04" w:rsidRPr="00633306" w:rsidRDefault="00012C04" w:rsidP="00605D4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012C04" w:rsidRPr="00633306" w:rsidRDefault="00012C04" w:rsidP="00605D4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012C04" w:rsidRPr="00633306" w:rsidRDefault="00012C04" w:rsidP="00605D4E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:rsidR="00012C04" w:rsidRPr="00633306" w:rsidRDefault="00012C04" w:rsidP="00605D4E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:rsidR="00012C04" w:rsidRPr="00633306" w:rsidRDefault="00012C04" w:rsidP="00605D4E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6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012C04" w:rsidRPr="00633306" w:rsidRDefault="00012C04" w:rsidP="00605D4E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:rsidR="00012C04" w:rsidRPr="00633306" w:rsidRDefault="00012C04" w:rsidP="00605D4E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012C04" w:rsidRPr="00633306" w:rsidTr="00605D4E">
        <w:trPr>
          <w:trHeight w:val="471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012C04" w:rsidRPr="00633306" w:rsidTr="00605D4E">
        <w:trPr>
          <w:trHeight w:val="582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012C04" w:rsidRPr="00633306" w:rsidRDefault="00012C04" w:rsidP="00605D4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012C04" w:rsidRPr="00633306" w:rsidRDefault="00012C04" w:rsidP="00605D4E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012C04" w:rsidTr="00605D4E">
        <w:trPr>
          <w:trHeight w:val="29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04" w:rsidRPr="007C777E" w:rsidRDefault="00012C04" w:rsidP="00605D4E">
            <w:pPr>
              <w:mirrorIndents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C777E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Лот №  1: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решение от 23.12.2022 № 54 (в редакции решени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я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от 21.02.2025 № 323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распоряжение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22.04.2025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174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-р</w:t>
            </w:r>
          </w:p>
        </w:tc>
      </w:tr>
      <w:tr w:rsidR="00012C04" w:rsidRPr="00633306" w:rsidTr="00605D4E">
        <w:trPr>
          <w:trHeight w:val="359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нежилое помещение 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012C04" w:rsidRPr="00990BF1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нежилое помещение </w:t>
            </w:r>
          </w:p>
          <w:p w:rsidR="00012C04" w:rsidRPr="00990BF1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(кадастровый номер 29:07:041701:419), </w:t>
            </w:r>
          </w:p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990BF1">
              <w:rPr>
                <w:rFonts w:eastAsia="Calibri"/>
                <w:sz w:val="20"/>
                <w:szCs w:val="20"/>
                <w:lang w:eastAsia="en-US"/>
              </w:rPr>
              <w:t>расположенное</w:t>
            </w:r>
            <w:proofErr w:type="gramEnd"/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 в здании по адресу: 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Архангельская область, </w:t>
            </w:r>
            <w:proofErr w:type="spellStart"/>
            <w:r w:rsidRPr="00990BF1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д. </w:t>
            </w:r>
            <w:proofErr w:type="spellStart"/>
            <w:r w:rsidRPr="00990BF1">
              <w:rPr>
                <w:rFonts w:eastAsia="Calibri"/>
                <w:sz w:val="20"/>
                <w:szCs w:val="20"/>
                <w:lang w:eastAsia="en-US"/>
              </w:rPr>
              <w:t>Федотовская</w:t>
            </w:r>
            <w:proofErr w:type="spellEnd"/>
            <w:r w:rsidRPr="00990BF1">
              <w:rPr>
                <w:rFonts w:eastAsia="Calibri"/>
                <w:sz w:val="20"/>
                <w:szCs w:val="20"/>
                <w:lang w:eastAsia="en-US"/>
              </w:rPr>
              <w:t>, ул. Н. Рубцова, д. 44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274 800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Двести семьдесят четыре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восемьсот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нежилого помещения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229 000,00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Двести двадцать девять тысяч рублей 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45 800,00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Сорок пять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 </w:t>
            </w:r>
            <w:r>
              <w:rPr>
                <w:rFonts w:eastAsia="Calibri"/>
                <w:sz w:val="20"/>
                <w:szCs w:val="20"/>
                <w:lang w:eastAsia="en-US"/>
              </w:rPr>
              <w:t>восемьсот рублей 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13 740,00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Тринадцать тысяч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семьсот сорок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27 480</w:t>
            </w:r>
            <w:r w:rsidRPr="0004197C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Двадцать семь</w:t>
            </w:r>
            <w:r w:rsidRPr="0004197C">
              <w:rPr>
                <w:rFonts w:eastAsia="Calibri"/>
                <w:sz w:val="20"/>
                <w:szCs w:val="20"/>
                <w:lang w:eastAsia="en-US"/>
              </w:rPr>
              <w:t xml:space="preserve"> тысяч </w:t>
            </w:r>
            <w:r>
              <w:rPr>
                <w:rFonts w:eastAsia="Calibri"/>
                <w:sz w:val="20"/>
                <w:szCs w:val="20"/>
                <w:lang w:eastAsia="en-US"/>
              </w:rPr>
              <w:t>четыреста восемьдесят</w:t>
            </w:r>
            <w:r w:rsidRPr="0004197C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012C04" w:rsidRPr="00633306" w:rsidTr="00605D4E">
        <w:trPr>
          <w:trHeight w:val="144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</w:t>
            </w:r>
            <w:r>
              <w:rPr>
                <w:rFonts w:eastAsia="Calibri"/>
                <w:sz w:val="20"/>
                <w:szCs w:val="20"/>
                <w:lang w:eastAsia="en-US"/>
              </w:rPr>
              <w:t>ключения договора купли-продажи.</w:t>
            </w: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:rsidR="00012C04" w:rsidRPr="00633306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2C04" w:rsidRPr="00633306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012C04" w:rsidRPr="00633306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:rsidR="00012C04" w:rsidRPr="00AD44F4" w:rsidRDefault="00012C04" w:rsidP="00605D4E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Нежилое помещение </w:t>
            </w:r>
            <w:r w:rsidRPr="00990BF1">
              <w:rPr>
                <w:rFonts w:eastAsia="Calibri"/>
                <w:sz w:val="20"/>
                <w:szCs w:val="20"/>
                <w:lang w:eastAsia="en-US"/>
              </w:rPr>
              <w:t>расположен</w:t>
            </w: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 в здании по адресу: Архангельская область, </w:t>
            </w:r>
            <w:proofErr w:type="spellStart"/>
            <w:r w:rsidRPr="00990BF1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990BF1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д. </w:t>
            </w:r>
            <w:proofErr w:type="spellStart"/>
            <w:r w:rsidRPr="00990BF1">
              <w:rPr>
                <w:rFonts w:eastAsia="Calibri"/>
                <w:sz w:val="20"/>
                <w:szCs w:val="20"/>
                <w:lang w:eastAsia="en-US"/>
              </w:rPr>
              <w:t>Федотовская</w:t>
            </w:r>
            <w:proofErr w:type="spellEnd"/>
            <w:r w:rsidRPr="00990BF1">
              <w:rPr>
                <w:rFonts w:eastAsia="Calibri"/>
                <w:sz w:val="20"/>
                <w:szCs w:val="20"/>
                <w:lang w:eastAsia="en-US"/>
              </w:rPr>
              <w:t>, ул. Н. Рубцова, д. 44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722A33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722A33">
              <w:rPr>
                <w:rFonts w:eastAsia="Calibri"/>
                <w:sz w:val="20"/>
                <w:szCs w:val="20"/>
                <w:lang w:eastAsia="en-US"/>
              </w:rPr>
              <w:t>Нежилые помещения</w:t>
            </w:r>
            <w:bookmarkStart w:id="0" w:name="_GoBack"/>
            <w:bookmarkEnd w:id="0"/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объекта: по письменной заявке заинтересованного лица.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012C04" w:rsidRPr="0037644A" w:rsidTr="00605D4E">
        <w:trPr>
          <w:trHeight w:val="806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37644A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37644A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>
              <w:rPr>
                <w:rFonts w:eastAsia="Calibri"/>
                <w:sz w:val="20"/>
                <w:szCs w:val="20"/>
                <w:lang w:eastAsia="en-US"/>
              </w:rPr>
              <w:t>нежилого помещения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14.04.2025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№ 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/0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подготовленный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частнопрактикующим оценщиком Власовой О.А.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наименование: </w:t>
            </w:r>
            <w:r w:rsidRPr="00ED2E2D">
              <w:rPr>
                <w:rFonts w:eastAsia="Calibri"/>
                <w:sz w:val="20"/>
                <w:szCs w:val="20"/>
                <w:lang w:eastAsia="en-US"/>
              </w:rPr>
              <w:t>нежилое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нежилое;</w:t>
            </w:r>
          </w:p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ED2E2D">
              <w:rPr>
                <w:rFonts w:eastAsia="Calibri"/>
                <w:sz w:val="20"/>
                <w:szCs w:val="20"/>
                <w:lang w:eastAsia="en-US"/>
              </w:rPr>
              <w:t>кадастровый номер: 29:07:041701:419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площадь: 142,0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местонахождение: </w:t>
            </w:r>
            <w:r w:rsidRPr="00ED2E2D">
              <w:rPr>
                <w:rFonts w:eastAsia="Calibri"/>
                <w:sz w:val="20"/>
                <w:szCs w:val="20"/>
                <w:lang w:eastAsia="en-US"/>
              </w:rPr>
              <w:t>расположен</w:t>
            </w: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ED2E2D">
              <w:rPr>
                <w:rFonts w:eastAsia="Calibri"/>
                <w:sz w:val="20"/>
                <w:szCs w:val="20"/>
                <w:lang w:eastAsia="en-US"/>
              </w:rPr>
              <w:t xml:space="preserve"> в здании по адресу: Архангельская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proofErr w:type="spellStart"/>
            <w:r w:rsidRPr="00ED2E2D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ED2E2D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D2E2D">
              <w:rPr>
                <w:rFonts w:eastAsia="Calibri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Pr="00ED2E2D">
              <w:rPr>
                <w:rFonts w:eastAsia="Calibri"/>
                <w:sz w:val="20"/>
                <w:szCs w:val="20"/>
                <w:lang w:eastAsia="en-US"/>
              </w:rPr>
              <w:t>Федотовская</w:t>
            </w:r>
            <w:proofErr w:type="spellEnd"/>
            <w:r w:rsidRPr="00ED2E2D">
              <w:rPr>
                <w:rFonts w:eastAsia="Calibri"/>
                <w:sz w:val="20"/>
                <w:szCs w:val="20"/>
                <w:lang w:eastAsia="en-US"/>
              </w:rPr>
              <w:t xml:space="preserve">, улица </w:t>
            </w:r>
            <w:proofErr w:type="spellStart"/>
            <w:r w:rsidRPr="00ED2E2D">
              <w:rPr>
                <w:rFonts w:eastAsia="Calibri"/>
                <w:sz w:val="20"/>
                <w:szCs w:val="20"/>
                <w:lang w:eastAsia="en-US"/>
              </w:rPr>
              <w:t>Н.Рубцова</w:t>
            </w:r>
            <w:proofErr w:type="spellEnd"/>
            <w:r w:rsidRPr="00ED2E2D">
              <w:rPr>
                <w:rFonts w:eastAsia="Calibri"/>
                <w:sz w:val="20"/>
                <w:szCs w:val="20"/>
                <w:lang w:eastAsia="en-US"/>
              </w:rPr>
              <w:t xml:space="preserve">, д. 44 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012C04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В случае если от имени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руководителя юридического лица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действует его представитель по доверенности, к заявке должна быть приложена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нотариально заверенная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доверенность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(копия)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на осуществление действий от имени претендента, оформленная в установленном порядке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В случае если от имени претендента действует его представитель по доверенности, к заявке должна быть приложена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нотариально заверенная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доверенность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(копия)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на осуществление действий от имени претендента, оформленная в установленном порядке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lastRenderedPageBreak/>
              <w:t>25 Федерального закона о приватизации;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37644A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012C04" w:rsidRPr="0037644A" w:rsidTr="00605D4E">
        <w:trPr>
          <w:trHeight w:val="132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37644A">
              <w:rPr>
                <w:sz w:val="20"/>
                <w:szCs w:val="20"/>
              </w:rPr>
              <w:t xml:space="preserve">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012C04" w:rsidRPr="0037644A" w:rsidTr="00605D4E">
        <w:trPr>
          <w:trHeight w:val="377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012C04" w:rsidRPr="0037644A" w:rsidTr="00605D4E">
        <w:trPr>
          <w:trHeight w:val="274"/>
        </w:trPr>
        <w:tc>
          <w:tcPr>
            <w:tcW w:w="567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012C04" w:rsidRPr="0037644A" w:rsidRDefault="00012C04" w:rsidP="00605D4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:rsidR="00012C04" w:rsidRPr="0037644A" w:rsidRDefault="00012C04" w:rsidP="00605D4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с даты принятия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такого решения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1D7828" w:rsidRDefault="001D7828"/>
    <w:sectPr w:rsidR="001D7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EE"/>
    <w:rsid w:val="00012C04"/>
    <w:rsid w:val="001D7828"/>
    <w:rsid w:val="00215CEE"/>
    <w:rsid w:val="0072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C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C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1738</Words>
  <Characters>9907</Characters>
  <Application>Microsoft Office Word</Application>
  <DocSecurity>0</DocSecurity>
  <Lines>82</Lines>
  <Paragraphs>23</Paragraphs>
  <ScaleCrop>false</ScaleCrop>
  <Company/>
  <LinksUpToDate>false</LinksUpToDate>
  <CharactersWithSpaces>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2025-10-06T07:30:00Z</dcterms:created>
  <dcterms:modified xsi:type="dcterms:W3CDTF">2025-10-06T07:32:00Z</dcterms:modified>
</cp:coreProperties>
</file>